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741DE" w:rsidRDefault="00EC67DF" w:rsidP="00EC67DF">
      <w:pPr>
        <w:spacing w:after="0" w:line="240" w:lineRule="auto"/>
        <w:rPr>
          <w:b/>
          <w:sz w:val="28"/>
          <w:szCs w:val="28"/>
        </w:rPr>
      </w:pPr>
      <w:r w:rsidRPr="00EC67DF">
        <w:rPr>
          <w:b/>
          <w:sz w:val="28"/>
          <w:szCs w:val="28"/>
        </w:rPr>
        <w:t>LATERAL THINKING IN HOMOEO PRACTICE</w:t>
      </w:r>
    </w:p>
    <w:p w:rsidR="00EC67DF" w:rsidRPr="00EC67DF" w:rsidRDefault="00EC67DF" w:rsidP="00EC67DF">
      <w:pPr>
        <w:spacing w:after="0" w:line="240" w:lineRule="auto"/>
        <w:rPr>
          <w:b/>
          <w:sz w:val="28"/>
          <w:szCs w:val="28"/>
        </w:rPr>
      </w:pPr>
    </w:p>
    <w:p w:rsidR="00EC67DF" w:rsidRDefault="00EC67DF" w:rsidP="00EC67DF">
      <w:pPr>
        <w:spacing w:after="0" w:line="240" w:lineRule="auto"/>
        <w:rPr>
          <w:sz w:val="28"/>
          <w:szCs w:val="28"/>
        </w:rPr>
      </w:pPr>
      <w:r>
        <w:rPr>
          <w:sz w:val="28"/>
          <w:szCs w:val="28"/>
        </w:rPr>
        <w:t>Dr. V. Krishnamurthy</w:t>
      </w:r>
    </w:p>
    <w:p w:rsidR="00EC67DF" w:rsidRDefault="00EC67DF" w:rsidP="00EC67DF">
      <w:pPr>
        <w:spacing w:after="0" w:line="240" w:lineRule="auto"/>
        <w:rPr>
          <w:sz w:val="28"/>
          <w:szCs w:val="28"/>
        </w:rPr>
      </w:pPr>
      <w:r>
        <w:rPr>
          <w:sz w:val="28"/>
          <w:szCs w:val="28"/>
        </w:rPr>
        <w:t>A-1, Mahathi Apts</w:t>
      </w:r>
    </w:p>
    <w:p w:rsidR="00EC67DF" w:rsidRDefault="00EC67DF" w:rsidP="00EC67DF">
      <w:pPr>
        <w:spacing w:after="0" w:line="240" w:lineRule="auto"/>
        <w:rPr>
          <w:sz w:val="28"/>
          <w:szCs w:val="28"/>
        </w:rPr>
      </w:pPr>
      <w:r>
        <w:rPr>
          <w:sz w:val="28"/>
          <w:szCs w:val="28"/>
        </w:rPr>
        <w:t>52/14 Jubilee Road</w:t>
      </w:r>
    </w:p>
    <w:p w:rsidR="00EC67DF" w:rsidRDefault="00EC67DF" w:rsidP="00EC67DF">
      <w:pPr>
        <w:spacing w:after="0" w:line="240" w:lineRule="auto"/>
        <w:rPr>
          <w:sz w:val="28"/>
          <w:szCs w:val="28"/>
        </w:rPr>
      </w:pPr>
      <w:r>
        <w:rPr>
          <w:sz w:val="28"/>
          <w:szCs w:val="28"/>
        </w:rPr>
        <w:t>West Mambalam</w:t>
      </w:r>
    </w:p>
    <w:p w:rsidR="00EC67DF" w:rsidRDefault="00EC67DF" w:rsidP="00EC67DF">
      <w:pPr>
        <w:spacing w:after="0" w:line="240" w:lineRule="auto"/>
        <w:rPr>
          <w:sz w:val="28"/>
          <w:szCs w:val="28"/>
        </w:rPr>
      </w:pPr>
      <w:r>
        <w:rPr>
          <w:sz w:val="28"/>
          <w:szCs w:val="28"/>
        </w:rPr>
        <w:t>Chennai – 600 033</w:t>
      </w:r>
    </w:p>
    <w:p w:rsidR="00EC67DF" w:rsidRDefault="00EC67DF" w:rsidP="00EC67DF">
      <w:pPr>
        <w:spacing w:after="0" w:line="240" w:lineRule="auto"/>
        <w:rPr>
          <w:sz w:val="28"/>
          <w:szCs w:val="28"/>
        </w:rPr>
      </w:pPr>
      <w:r>
        <w:rPr>
          <w:sz w:val="28"/>
          <w:szCs w:val="28"/>
        </w:rPr>
        <w:t>Phone: 9884612450</w:t>
      </w:r>
      <w:r w:rsidR="00CA0758">
        <w:rPr>
          <w:sz w:val="28"/>
          <w:szCs w:val="28"/>
        </w:rPr>
        <w:t>, 9789069362.  E-mail:  jaykrish1966@gmail.com</w:t>
      </w:r>
    </w:p>
    <w:p w:rsidR="001A4CEE" w:rsidRDefault="001A4CEE" w:rsidP="00EC67DF">
      <w:pPr>
        <w:spacing w:after="0" w:line="240" w:lineRule="auto"/>
        <w:rPr>
          <w:sz w:val="28"/>
          <w:szCs w:val="28"/>
        </w:rPr>
      </w:pPr>
    </w:p>
    <w:p w:rsidR="001A4CEE" w:rsidRPr="005665BB" w:rsidRDefault="001A4CEE" w:rsidP="001A4CEE">
      <w:pPr>
        <w:spacing w:after="0" w:line="240" w:lineRule="auto"/>
        <w:rPr>
          <w:i/>
          <w:sz w:val="28"/>
          <w:szCs w:val="28"/>
        </w:rPr>
      </w:pPr>
      <w:r>
        <w:rPr>
          <w:i/>
          <w:sz w:val="28"/>
          <w:szCs w:val="28"/>
        </w:rPr>
        <w:t>A teacher is he who makes difficult things easy—Ralph Waldo Emerson.</w:t>
      </w:r>
    </w:p>
    <w:p w:rsidR="001A4CEE" w:rsidRDefault="001A4CEE" w:rsidP="00EC67DF">
      <w:pPr>
        <w:spacing w:after="0" w:line="240" w:lineRule="auto"/>
        <w:rPr>
          <w:sz w:val="28"/>
          <w:szCs w:val="28"/>
        </w:rPr>
      </w:pPr>
    </w:p>
    <w:p w:rsidR="001A4CEE" w:rsidRPr="001A4CEE" w:rsidRDefault="001A4CEE" w:rsidP="001A4CEE">
      <w:pPr>
        <w:tabs>
          <w:tab w:val="left" w:pos="90"/>
        </w:tabs>
        <w:spacing w:after="0" w:line="240" w:lineRule="auto"/>
        <w:ind w:left="90"/>
        <w:rPr>
          <w:sz w:val="28"/>
          <w:szCs w:val="28"/>
        </w:rPr>
      </w:pPr>
      <w:r>
        <w:rPr>
          <w:sz w:val="28"/>
          <w:szCs w:val="28"/>
        </w:rPr>
        <w:t xml:space="preserve">It may be mentioned here that medical practice is not bread winning profession of the author.   He has studied homoeopathy only out of sheet academic interest.  Therefore, you will definitely find the best guidance in what is written </w:t>
      </w:r>
      <w:r w:rsidR="00CA0758">
        <w:rPr>
          <w:sz w:val="28"/>
          <w:szCs w:val="28"/>
        </w:rPr>
        <w:t>herein blow</w:t>
      </w:r>
      <w:r>
        <w:rPr>
          <w:sz w:val="28"/>
          <w:szCs w:val="28"/>
        </w:rPr>
        <w:t>.</w:t>
      </w:r>
    </w:p>
    <w:p w:rsidR="00EC67DF" w:rsidRDefault="00EC67DF" w:rsidP="00EC67DF">
      <w:pPr>
        <w:spacing w:after="0" w:line="240" w:lineRule="auto"/>
        <w:rPr>
          <w:sz w:val="28"/>
          <w:szCs w:val="28"/>
        </w:rPr>
      </w:pPr>
    </w:p>
    <w:p w:rsidR="00EC67DF" w:rsidRDefault="00EC67DF" w:rsidP="00EC67DF">
      <w:pPr>
        <w:spacing w:after="0" w:line="240" w:lineRule="auto"/>
        <w:rPr>
          <w:i/>
          <w:sz w:val="28"/>
          <w:szCs w:val="28"/>
        </w:rPr>
      </w:pPr>
      <w:r>
        <w:rPr>
          <w:sz w:val="28"/>
          <w:szCs w:val="28"/>
        </w:rPr>
        <w:t xml:space="preserve">We have Repertories to search for remedies with a symptom.  </w:t>
      </w:r>
      <w:r w:rsidR="00CA0758">
        <w:rPr>
          <w:sz w:val="28"/>
          <w:szCs w:val="28"/>
        </w:rPr>
        <w:t>However,</w:t>
      </w:r>
      <w:r>
        <w:rPr>
          <w:sz w:val="28"/>
          <w:szCs w:val="28"/>
        </w:rPr>
        <w:t xml:space="preserve"> the fact is </w:t>
      </w:r>
      <w:r w:rsidR="00CA0758">
        <w:rPr>
          <w:sz w:val="28"/>
          <w:szCs w:val="28"/>
        </w:rPr>
        <w:t>that</w:t>
      </w:r>
      <w:r>
        <w:rPr>
          <w:sz w:val="28"/>
          <w:szCs w:val="28"/>
        </w:rPr>
        <w:t xml:space="preserve"> certain symptoms or a group of symptoms cannot </w:t>
      </w:r>
      <w:r w:rsidR="00CA0758">
        <w:rPr>
          <w:sz w:val="28"/>
          <w:szCs w:val="28"/>
        </w:rPr>
        <w:t>be classified</w:t>
      </w:r>
      <w:r>
        <w:rPr>
          <w:sz w:val="28"/>
          <w:szCs w:val="28"/>
        </w:rPr>
        <w:t xml:space="preserve"> in the repertory.</w:t>
      </w:r>
      <w:r w:rsidR="00377097">
        <w:rPr>
          <w:sz w:val="28"/>
          <w:szCs w:val="28"/>
        </w:rPr>
        <w:t xml:space="preserve">  </w:t>
      </w:r>
      <w:r>
        <w:rPr>
          <w:sz w:val="28"/>
          <w:szCs w:val="28"/>
        </w:rPr>
        <w:t>Therefore, we have to learn such symptoms by rote.  E. g.,</w:t>
      </w:r>
      <w:r w:rsidRPr="00377097">
        <w:rPr>
          <w:i/>
          <w:sz w:val="28"/>
          <w:szCs w:val="28"/>
        </w:rPr>
        <w:t xml:space="preserve"> Complaints disposed to appear periodically and in groups</w:t>
      </w:r>
      <w:r>
        <w:rPr>
          <w:sz w:val="28"/>
          <w:szCs w:val="28"/>
        </w:rPr>
        <w:t xml:space="preserve">.  (See </w:t>
      </w:r>
      <w:r>
        <w:rPr>
          <w:i/>
          <w:sz w:val="28"/>
          <w:szCs w:val="28"/>
        </w:rPr>
        <w:t>Cupr</w:t>
      </w:r>
      <w:r w:rsidR="00377097">
        <w:rPr>
          <w:i/>
          <w:sz w:val="28"/>
          <w:szCs w:val="28"/>
        </w:rPr>
        <w:t>um met. in Boericke’s Mat. Med.)</w:t>
      </w:r>
      <w:r>
        <w:rPr>
          <w:i/>
          <w:sz w:val="28"/>
          <w:szCs w:val="28"/>
        </w:rPr>
        <w:t xml:space="preserve"> </w:t>
      </w:r>
    </w:p>
    <w:p w:rsidR="00EC67DF" w:rsidRDefault="00EC67DF" w:rsidP="00EC67DF">
      <w:pPr>
        <w:spacing w:after="0" w:line="240" w:lineRule="auto"/>
        <w:rPr>
          <w:i/>
          <w:sz w:val="28"/>
          <w:szCs w:val="28"/>
        </w:rPr>
      </w:pPr>
    </w:p>
    <w:p w:rsidR="00EC67DF" w:rsidRDefault="00EC67DF" w:rsidP="00EC67DF">
      <w:pPr>
        <w:spacing w:after="0" w:line="240" w:lineRule="auto"/>
        <w:rPr>
          <w:sz w:val="28"/>
          <w:szCs w:val="28"/>
        </w:rPr>
      </w:pPr>
      <w:r>
        <w:rPr>
          <w:sz w:val="28"/>
          <w:szCs w:val="28"/>
        </w:rPr>
        <w:t xml:space="preserve">Again, a certain patient reports headache in the morning; then diarrhoea in the afternoon and itching of skin and feverishness at night in the bed.  This group of symptoms, otherwise called </w:t>
      </w:r>
      <w:r>
        <w:rPr>
          <w:i/>
          <w:sz w:val="28"/>
          <w:szCs w:val="28"/>
        </w:rPr>
        <w:t xml:space="preserve">syndrome </w:t>
      </w:r>
      <w:r>
        <w:rPr>
          <w:sz w:val="28"/>
          <w:szCs w:val="28"/>
        </w:rPr>
        <w:t xml:space="preserve">is in the remedy Ammonium-mur.  Under this remedy in </w:t>
      </w:r>
      <w:r w:rsidRPr="00377097">
        <w:rPr>
          <w:i/>
          <w:sz w:val="28"/>
          <w:szCs w:val="28"/>
        </w:rPr>
        <w:t>Boericke’s M</w:t>
      </w:r>
      <w:r w:rsidR="00377097">
        <w:rPr>
          <w:i/>
          <w:sz w:val="28"/>
          <w:szCs w:val="28"/>
        </w:rPr>
        <w:t xml:space="preserve">ateria Medica, </w:t>
      </w:r>
      <w:r w:rsidR="00377097">
        <w:rPr>
          <w:sz w:val="28"/>
          <w:szCs w:val="28"/>
        </w:rPr>
        <w:t>w</w:t>
      </w:r>
      <w:r>
        <w:rPr>
          <w:sz w:val="28"/>
          <w:szCs w:val="28"/>
        </w:rPr>
        <w:t>e find the following:</w:t>
      </w:r>
    </w:p>
    <w:p w:rsidR="00EC67DF" w:rsidRPr="00377097" w:rsidRDefault="00EC67DF" w:rsidP="00EC67DF">
      <w:pPr>
        <w:spacing w:after="0" w:line="240" w:lineRule="auto"/>
        <w:ind w:left="810" w:right="720"/>
        <w:rPr>
          <w:b/>
          <w:sz w:val="28"/>
          <w:szCs w:val="28"/>
        </w:rPr>
      </w:pPr>
      <w:r w:rsidRPr="00377097">
        <w:rPr>
          <w:b/>
          <w:sz w:val="28"/>
          <w:szCs w:val="28"/>
        </w:rPr>
        <w:t xml:space="preserve">The modalities are peculiarly divided into the regions affected; thus, head symptoms are worse in the morning, abdominal symptoms in the afternoon and skin and </w:t>
      </w:r>
      <w:r w:rsidR="00CA0758" w:rsidRPr="00377097">
        <w:rPr>
          <w:b/>
          <w:sz w:val="28"/>
          <w:szCs w:val="28"/>
        </w:rPr>
        <w:t>fever</w:t>
      </w:r>
      <w:r w:rsidRPr="00377097">
        <w:rPr>
          <w:b/>
          <w:sz w:val="28"/>
          <w:szCs w:val="28"/>
        </w:rPr>
        <w:t xml:space="preserve"> in the night.</w:t>
      </w:r>
    </w:p>
    <w:p w:rsidR="00377097" w:rsidRDefault="00377097" w:rsidP="00EC67DF">
      <w:pPr>
        <w:tabs>
          <w:tab w:val="left" w:pos="90"/>
        </w:tabs>
        <w:spacing w:after="0" w:line="240" w:lineRule="auto"/>
        <w:ind w:left="90"/>
        <w:rPr>
          <w:sz w:val="28"/>
          <w:szCs w:val="28"/>
        </w:rPr>
      </w:pPr>
    </w:p>
    <w:p w:rsidR="00EC67DF" w:rsidRDefault="00CA0758" w:rsidP="00EC67DF">
      <w:pPr>
        <w:tabs>
          <w:tab w:val="left" w:pos="90"/>
        </w:tabs>
        <w:spacing w:after="0" w:line="240" w:lineRule="auto"/>
        <w:ind w:left="90"/>
        <w:rPr>
          <w:sz w:val="28"/>
          <w:szCs w:val="28"/>
        </w:rPr>
      </w:pPr>
      <w:r>
        <w:rPr>
          <w:sz w:val="28"/>
          <w:szCs w:val="28"/>
        </w:rPr>
        <w:t>This cannot be listed unde</w:t>
      </w:r>
      <w:r w:rsidR="00EC67DF">
        <w:rPr>
          <w:sz w:val="28"/>
          <w:szCs w:val="28"/>
        </w:rPr>
        <w:t>r any one head in the repertory.  Therefore, the above two groups of symptoms should at once come to our mind when</w:t>
      </w:r>
      <w:r>
        <w:rPr>
          <w:sz w:val="28"/>
          <w:szCs w:val="28"/>
        </w:rPr>
        <w:t xml:space="preserve"> </w:t>
      </w:r>
      <w:r w:rsidR="00EC67DF">
        <w:rPr>
          <w:sz w:val="28"/>
          <w:szCs w:val="28"/>
        </w:rPr>
        <w:t>a patient present such group of symptoms.</w:t>
      </w:r>
    </w:p>
    <w:p w:rsidR="00EC67DF" w:rsidRDefault="00EC67DF" w:rsidP="00EC67DF">
      <w:pPr>
        <w:tabs>
          <w:tab w:val="left" w:pos="90"/>
        </w:tabs>
        <w:spacing w:after="0" w:line="240" w:lineRule="auto"/>
        <w:ind w:left="90"/>
        <w:rPr>
          <w:sz w:val="28"/>
          <w:szCs w:val="28"/>
        </w:rPr>
      </w:pPr>
    </w:p>
    <w:p w:rsidR="00EC67DF" w:rsidRDefault="00EC67DF" w:rsidP="00EC67DF">
      <w:pPr>
        <w:tabs>
          <w:tab w:val="left" w:pos="90"/>
        </w:tabs>
        <w:spacing w:after="0" w:line="240" w:lineRule="auto"/>
        <w:ind w:left="90"/>
        <w:rPr>
          <w:sz w:val="28"/>
          <w:szCs w:val="28"/>
        </w:rPr>
      </w:pPr>
      <w:r>
        <w:rPr>
          <w:sz w:val="28"/>
          <w:szCs w:val="28"/>
        </w:rPr>
        <w:t xml:space="preserve">This is one of the salient point in the use of reference books.  Therefore, lateral thinking is needed.  Thus and therefore, the great Dr. Samuel Lilienthal brought a </w:t>
      </w:r>
      <w:r>
        <w:rPr>
          <w:sz w:val="28"/>
          <w:szCs w:val="28"/>
        </w:rPr>
        <w:lastRenderedPageBreak/>
        <w:t xml:space="preserve">reference book entitled </w:t>
      </w:r>
      <w:r>
        <w:rPr>
          <w:i/>
          <w:sz w:val="28"/>
          <w:szCs w:val="28"/>
        </w:rPr>
        <w:t xml:space="preserve">Homoeopathic Therapeutics (hereinafter </w:t>
      </w:r>
      <w:r w:rsidR="00CA0758">
        <w:rPr>
          <w:i/>
          <w:sz w:val="28"/>
          <w:szCs w:val="28"/>
        </w:rPr>
        <w:t>called</w:t>
      </w:r>
      <w:r>
        <w:rPr>
          <w:i/>
          <w:sz w:val="28"/>
          <w:szCs w:val="28"/>
        </w:rPr>
        <w:t xml:space="preserve"> Lilienthal’s)</w:t>
      </w:r>
    </w:p>
    <w:p w:rsidR="00EC67DF" w:rsidRDefault="00EC67DF" w:rsidP="00EC67DF">
      <w:pPr>
        <w:tabs>
          <w:tab w:val="left" w:pos="90"/>
        </w:tabs>
        <w:spacing w:after="0" w:line="240" w:lineRule="auto"/>
        <w:ind w:left="90"/>
        <w:rPr>
          <w:sz w:val="28"/>
          <w:szCs w:val="28"/>
        </w:rPr>
      </w:pPr>
    </w:p>
    <w:p w:rsidR="00EC67DF" w:rsidRDefault="00EC67DF" w:rsidP="00EC67DF">
      <w:pPr>
        <w:tabs>
          <w:tab w:val="left" w:pos="90"/>
        </w:tabs>
        <w:spacing w:after="0" w:line="240" w:lineRule="auto"/>
        <w:ind w:left="90"/>
        <w:rPr>
          <w:sz w:val="28"/>
          <w:szCs w:val="28"/>
        </w:rPr>
      </w:pPr>
      <w:r>
        <w:rPr>
          <w:sz w:val="28"/>
          <w:szCs w:val="28"/>
        </w:rPr>
        <w:t xml:space="preserve">One or two actual cases seen in the clinic would illustrate the use of this reference work by Lilienthal.  </w:t>
      </w:r>
    </w:p>
    <w:p w:rsidR="00EC67DF" w:rsidRDefault="00EC67DF" w:rsidP="00EC67DF">
      <w:pPr>
        <w:tabs>
          <w:tab w:val="left" w:pos="90"/>
        </w:tabs>
        <w:spacing w:after="0" w:line="240" w:lineRule="auto"/>
        <w:ind w:left="90"/>
        <w:rPr>
          <w:sz w:val="28"/>
          <w:szCs w:val="28"/>
        </w:rPr>
      </w:pPr>
    </w:p>
    <w:p w:rsidR="005665BB" w:rsidRDefault="00EC67DF" w:rsidP="00EC67DF">
      <w:pPr>
        <w:tabs>
          <w:tab w:val="left" w:pos="90"/>
        </w:tabs>
        <w:spacing w:after="0" w:line="240" w:lineRule="auto"/>
        <w:ind w:left="90"/>
        <w:rPr>
          <w:sz w:val="28"/>
          <w:szCs w:val="28"/>
        </w:rPr>
      </w:pPr>
      <w:r>
        <w:rPr>
          <w:sz w:val="28"/>
          <w:szCs w:val="28"/>
        </w:rPr>
        <w:t xml:space="preserve">Before we narrate two cases, it is not out of place to </w:t>
      </w:r>
      <w:r w:rsidR="005665BB">
        <w:rPr>
          <w:sz w:val="28"/>
          <w:szCs w:val="28"/>
        </w:rPr>
        <w:t>keep in mind certain Sections of the Organon.</w:t>
      </w:r>
      <w:r w:rsidR="00CA0758">
        <w:rPr>
          <w:sz w:val="28"/>
          <w:szCs w:val="28"/>
        </w:rPr>
        <w:t xml:space="preserve">  </w:t>
      </w:r>
      <w:r w:rsidR="005665BB">
        <w:rPr>
          <w:sz w:val="28"/>
          <w:szCs w:val="28"/>
        </w:rPr>
        <w:t xml:space="preserve">Section 84, 153 and 213 of the </w:t>
      </w:r>
      <w:r w:rsidR="005665BB">
        <w:rPr>
          <w:i/>
          <w:sz w:val="28"/>
          <w:szCs w:val="28"/>
        </w:rPr>
        <w:t xml:space="preserve">Organon </w:t>
      </w:r>
      <w:r w:rsidR="005665BB">
        <w:rPr>
          <w:sz w:val="28"/>
          <w:szCs w:val="28"/>
        </w:rPr>
        <w:t>read together is the backbone of homoeo practice.</w:t>
      </w:r>
    </w:p>
    <w:p w:rsidR="005665BB" w:rsidRDefault="005665BB" w:rsidP="00EC67DF">
      <w:pPr>
        <w:tabs>
          <w:tab w:val="left" w:pos="90"/>
        </w:tabs>
        <w:spacing w:after="0" w:line="240" w:lineRule="auto"/>
        <w:ind w:left="90"/>
        <w:rPr>
          <w:sz w:val="28"/>
          <w:szCs w:val="28"/>
        </w:rPr>
      </w:pPr>
    </w:p>
    <w:p w:rsidR="005665BB" w:rsidRDefault="005665BB" w:rsidP="00EC67DF">
      <w:pPr>
        <w:tabs>
          <w:tab w:val="left" w:pos="90"/>
        </w:tabs>
        <w:spacing w:after="0" w:line="240" w:lineRule="auto"/>
        <w:ind w:left="90"/>
        <w:rPr>
          <w:sz w:val="28"/>
          <w:szCs w:val="28"/>
        </w:rPr>
      </w:pPr>
      <w:r>
        <w:rPr>
          <w:sz w:val="28"/>
          <w:szCs w:val="28"/>
        </w:rPr>
        <w:t xml:space="preserve">Misunderstanding or ignorance of the above three sections is the cause for </w:t>
      </w:r>
      <w:r w:rsidR="00CA0758">
        <w:rPr>
          <w:sz w:val="28"/>
          <w:szCs w:val="28"/>
        </w:rPr>
        <w:t>colossal</w:t>
      </w:r>
      <w:r>
        <w:rPr>
          <w:sz w:val="28"/>
          <w:szCs w:val="28"/>
        </w:rPr>
        <w:t xml:space="preserve"> failure in practice</w:t>
      </w:r>
      <w:r w:rsidR="00CA0758">
        <w:rPr>
          <w:sz w:val="28"/>
          <w:szCs w:val="28"/>
        </w:rPr>
        <w:t>.</w:t>
      </w:r>
    </w:p>
    <w:p w:rsidR="005665BB" w:rsidRDefault="005665BB" w:rsidP="005665BB">
      <w:pPr>
        <w:tabs>
          <w:tab w:val="left" w:pos="90"/>
        </w:tabs>
        <w:spacing w:after="0" w:line="240" w:lineRule="auto"/>
        <w:ind w:left="90"/>
        <w:rPr>
          <w:sz w:val="28"/>
          <w:szCs w:val="28"/>
        </w:rPr>
      </w:pPr>
    </w:p>
    <w:p w:rsidR="005665BB" w:rsidRDefault="005665BB" w:rsidP="005665BB">
      <w:pPr>
        <w:tabs>
          <w:tab w:val="left" w:pos="90"/>
        </w:tabs>
        <w:spacing w:after="0" w:line="240" w:lineRule="auto"/>
        <w:ind w:left="90"/>
        <w:rPr>
          <w:sz w:val="28"/>
          <w:szCs w:val="28"/>
        </w:rPr>
      </w:pPr>
      <w:r>
        <w:rPr>
          <w:sz w:val="28"/>
          <w:szCs w:val="28"/>
        </w:rPr>
        <w:t>Practitioners putting up questions to the patient?  Read Section 84 and the following portion therein should be written on the wall in gold and it should be vibrating in your head:</w:t>
      </w:r>
    </w:p>
    <w:p w:rsidR="005665BB" w:rsidRPr="005665BB" w:rsidRDefault="005665BB" w:rsidP="005665BB">
      <w:pPr>
        <w:tabs>
          <w:tab w:val="left" w:pos="90"/>
        </w:tabs>
        <w:spacing w:after="0" w:line="240" w:lineRule="auto"/>
        <w:ind w:left="90"/>
        <w:rPr>
          <w:b/>
          <w:i/>
          <w:sz w:val="28"/>
          <w:szCs w:val="28"/>
        </w:rPr>
      </w:pPr>
    </w:p>
    <w:p w:rsidR="005665BB" w:rsidRPr="005665BB" w:rsidRDefault="005665BB" w:rsidP="005665BB">
      <w:pPr>
        <w:tabs>
          <w:tab w:val="left" w:pos="90"/>
        </w:tabs>
        <w:spacing w:after="0" w:line="240" w:lineRule="auto"/>
        <w:ind w:left="90"/>
        <w:rPr>
          <w:b/>
          <w:i/>
          <w:sz w:val="28"/>
          <w:szCs w:val="28"/>
        </w:rPr>
      </w:pPr>
      <w:r w:rsidRPr="005665BB">
        <w:rPr>
          <w:b/>
          <w:i/>
          <w:sz w:val="28"/>
          <w:szCs w:val="28"/>
        </w:rPr>
        <w:t>The patient details the history of his suffering. . .  Keeping silence himself, he allows them to say all they have to say and refrain from interrupting them . . . Every interruption breaks the train of thought of the narrators and all they would have said at first does not again occur to them in precisely the same manner after that.</w:t>
      </w:r>
    </w:p>
    <w:p w:rsidR="005665BB" w:rsidRDefault="005665BB" w:rsidP="005665BB">
      <w:pPr>
        <w:tabs>
          <w:tab w:val="left" w:pos="90"/>
        </w:tabs>
        <w:spacing w:after="0" w:line="240" w:lineRule="auto"/>
        <w:ind w:left="90"/>
        <w:rPr>
          <w:sz w:val="28"/>
          <w:szCs w:val="28"/>
        </w:rPr>
      </w:pPr>
    </w:p>
    <w:p w:rsidR="005665BB" w:rsidRDefault="005665BB" w:rsidP="005665BB">
      <w:pPr>
        <w:tabs>
          <w:tab w:val="left" w:pos="90"/>
        </w:tabs>
        <w:spacing w:after="0" w:line="240" w:lineRule="auto"/>
        <w:ind w:left="90"/>
        <w:rPr>
          <w:sz w:val="28"/>
          <w:szCs w:val="28"/>
        </w:rPr>
      </w:pPr>
      <w:r w:rsidRPr="005665BB">
        <w:rPr>
          <w:sz w:val="28"/>
          <w:szCs w:val="28"/>
        </w:rPr>
        <w:t>Many times the patient tells us</w:t>
      </w:r>
      <w:r>
        <w:rPr>
          <w:sz w:val="28"/>
          <w:szCs w:val="28"/>
        </w:rPr>
        <w:t xml:space="preserve"> the uncommon-rare-strange symptoms thirty or forty seconds </w:t>
      </w:r>
      <w:r>
        <w:rPr>
          <w:i/>
          <w:sz w:val="28"/>
          <w:szCs w:val="28"/>
        </w:rPr>
        <w:t>after</w:t>
      </w:r>
      <w:r>
        <w:rPr>
          <w:sz w:val="28"/>
          <w:szCs w:val="28"/>
        </w:rPr>
        <w:t xml:space="preserve"> they have finished talking.  I</w:t>
      </w:r>
      <w:r w:rsidR="00377097">
        <w:rPr>
          <w:sz w:val="28"/>
          <w:szCs w:val="28"/>
        </w:rPr>
        <w:t>n</w:t>
      </w:r>
      <w:r>
        <w:rPr>
          <w:sz w:val="28"/>
          <w:szCs w:val="28"/>
        </w:rPr>
        <w:t xml:space="preserve"> some </w:t>
      </w:r>
      <w:r w:rsidR="00CA0758">
        <w:rPr>
          <w:sz w:val="28"/>
          <w:szCs w:val="28"/>
        </w:rPr>
        <w:t>cases,</w:t>
      </w:r>
      <w:r>
        <w:rPr>
          <w:sz w:val="28"/>
          <w:szCs w:val="28"/>
        </w:rPr>
        <w:t xml:space="preserve"> it is </w:t>
      </w:r>
      <w:r>
        <w:rPr>
          <w:i/>
          <w:sz w:val="28"/>
          <w:szCs w:val="28"/>
        </w:rPr>
        <w:t>after</w:t>
      </w:r>
      <w:r>
        <w:rPr>
          <w:sz w:val="28"/>
          <w:szCs w:val="28"/>
        </w:rPr>
        <w:t xml:space="preserve"> you have made the prescription and collected your fees!  Dr. Hahnemann advises that patience in an eminent is required while taking up the case.  In yet some other rare cases, the symptom that will guide us to the remedy is told only </w:t>
      </w:r>
      <w:r>
        <w:rPr>
          <w:i/>
          <w:sz w:val="28"/>
          <w:szCs w:val="28"/>
        </w:rPr>
        <w:t>during the second or third visit.</w:t>
      </w:r>
      <w:r>
        <w:rPr>
          <w:sz w:val="28"/>
          <w:szCs w:val="28"/>
        </w:rPr>
        <w:t xml:space="preserve">  [Note:  If a patient talks more and more but there is no uncommon-rare-strange-peculiar symptoms, then it in itself is symptom.  Write the word ‘taciturn</w:t>
      </w:r>
      <w:r w:rsidR="001A4CEE">
        <w:rPr>
          <w:sz w:val="28"/>
          <w:szCs w:val="28"/>
        </w:rPr>
        <w:t>’ in the case sheet.   [See Kent’s Repertory—MIND—Talk, indisposed to</w:t>
      </w:r>
      <w:r w:rsidR="00377097">
        <w:rPr>
          <w:sz w:val="28"/>
          <w:szCs w:val="28"/>
        </w:rPr>
        <w:t>, desire to be silent, taciturn</w:t>
      </w:r>
      <w:r w:rsidR="001A4CEE">
        <w:rPr>
          <w:sz w:val="28"/>
          <w:szCs w:val="28"/>
        </w:rPr>
        <w:t>]</w:t>
      </w:r>
    </w:p>
    <w:p w:rsidR="001A4CEE" w:rsidRDefault="001A4CEE" w:rsidP="005665BB">
      <w:pPr>
        <w:tabs>
          <w:tab w:val="left" w:pos="90"/>
        </w:tabs>
        <w:spacing w:after="0" w:line="240" w:lineRule="auto"/>
        <w:ind w:left="90"/>
        <w:rPr>
          <w:sz w:val="28"/>
          <w:szCs w:val="28"/>
        </w:rPr>
      </w:pPr>
    </w:p>
    <w:p w:rsidR="001A4CEE" w:rsidRDefault="001A4CEE" w:rsidP="005665BB">
      <w:pPr>
        <w:tabs>
          <w:tab w:val="left" w:pos="90"/>
        </w:tabs>
        <w:spacing w:after="0" w:line="240" w:lineRule="auto"/>
        <w:ind w:left="90"/>
        <w:rPr>
          <w:i/>
          <w:sz w:val="28"/>
          <w:szCs w:val="28"/>
        </w:rPr>
      </w:pPr>
      <w:r>
        <w:rPr>
          <w:sz w:val="28"/>
          <w:szCs w:val="28"/>
        </w:rPr>
        <w:t xml:space="preserve">Actual cases treated alone will enable us to understand what we write about Section 84, 153 </w:t>
      </w:r>
      <w:r w:rsidR="00CA0758">
        <w:rPr>
          <w:sz w:val="28"/>
          <w:szCs w:val="28"/>
        </w:rPr>
        <w:t>and</w:t>
      </w:r>
      <w:r>
        <w:rPr>
          <w:sz w:val="28"/>
          <w:szCs w:val="28"/>
        </w:rPr>
        <w:t xml:space="preserve"> 213 of the </w:t>
      </w:r>
      <w:r>
        <w:rPr>
          <w:i/>
          <w:sz w:val="28"/>
          <w:szCs w:val="28"/>
        </w:rPr>
        <w:t>Organon.</w:t>
      </w:r>
    </w:p>
    <w:p w:rsidR="001A4CEE" w:rsidRPr="001A4CEE" w:rsidRDefault="001A4CEE" w:rsidP="005665BB">
      <w:pPr>
        <w:tabs>
          <w:tab w:val="left" w:pos="90"/>
        </w:tabs>
        <w:spacing w:after="0" w:line="240" w:lineRule="auto"/>
        <w:ind w:left="90"/>
        <w:rPr>
          <w:sz w:val="28"/>
          <w:szCs w:val="28"/>
        </w:rPr>
      </w:pPr>
      <w:r>
        <w:rPr>
          <w:b/>
          <w:sz w:val="28"/>
          <w:szCs w:val="28"/>
        </w:rPr>
        <w:t xml:space="preserve">Case 1:  </w:t>
      </w:r>
    </w:p>
    <w:p w:rsidR="001A4CEE" w:rsidRDefault="001A4CEE" w:rsidP="005665BB">
      <w:pPr>
        <w:tabs>
          <w:tab w:val="left" w:pos="90"/>
        </w:tabs>
        <w:spacing w:after="0" w:line="240" w:lineRule="auto"/>
        <w:ind w:left="90"/>
        <w:rPr>
          <w:i/>
          <w:sz w:val="28"/>
          <w:szCs w:val="28"/>
        </w:rPr>
      </w:pPr>
    </w:p>
    <w:p w:rsidR="005665BB" w:rsidRDefault="005665BB" w:rsidP="005665BB">
      <w:pPr>
        <w:tabs>
          <w:tab w:val="left" w:pos="90"/>
        </w:tabs>
        <w:spacing w:after="0" w:line="240" w:lineRule="auto"/>
        <w:ind w:left="90"/>
        <w:rPr>
          <w:sz w:val="28"/>
          <w:szCs w:val="28"/>
        </w:rPr>
      </w:pPr>
    </w:p>
    <w:p w:rsidR="005665BB" w:rsidRDefault="005665BB" w:rsidP="005665BB">
      <w:pPr>
        <w:tabs>
          <w:tab w:val="left" w:pos="90"/>
        </w:tabs>
        <w:spacing w:after="0" w:line="240" w:lineRule="auto"/>
        <w:ind w:left="90"/>
        <w:rPr>
          <w:sz w:val="28"/>
          <w:szCs w:val="28"/>
        </w:rPr>
      </w:pPr>
      <w:r>
        <w:rPr>
          <w:sz w:val="28"/>
          <w:szCs w:val="28"/>
        </w:rPr>
        <w:t>Lilienthal’s is homoeopathy and homoeo practice is void without Lilienthal’s.</w:t>
      </w:r>
    </w:p>
    <w:p w:rsidR="005665BB" w:rsidRDefault="005665BB" w:rsidP="00EC67DF">
      <w:pPr>
        <w:tabs>
          <w:tab w:val="left" w:pos="90"/>
        </w:tabs>
        <w:spacing w:after="0" w:line="240" w:lineRule="auto"/>
        <w:ind w:left="90"/>
        <w:rPr>
          <w:sz w:val="28"/>
          <w:szCs w:val="28"/>
        </w:rPr>
      </w:pPr>
      <w:r>
        <w:rPr>
          <w:sz w:val="28"/>
          <w:szCs w:val="28"/>
        </w:rPr>
        <w:t>It will not be an exaggeration if I place even Dr. Hahnemann after Lilienthal.</w:t>
      </w:r>
    </w:p>
    <w:p w:rsidR="005665BB" w:rsidRDefault="005665BB" w:rsidP="00EC67DF">
      <w:pPr>
        <w:tabs>
          <w:tab w:val="left" w:pos="90"/>
        </w:tabs>
        <w:spacing w:after="0" w:line="240" w:lineRule="auto"/>
        <w:ind w:left="90"/>
        <w:rPr>
          <w:sz w:val="28"/>
          <w:szCs w:val="28"/>
        </w:rPr>
      </w:pPr>
    </w:p>
    <w:sectPr w:rsidR="005665BB" w:rsidSect="00C741DE">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5"/>
  <w:defaultTabStop w:val="720"/>
  <w:characterSpacingControl w:val="doNotCompress"/>
  <w:compat>
    <w:useFELayout/>
  </w:compat>
  <w:rsids>
    <w:rsidRoot w:val="00EC67DF"/>
    <w:rsid w:val="001A4CEE"/>
    <w:rsid w:val="00377097"/>
    <w:rsid w:val="005665BB"/>
    <w:rsid w:val="006B3CE0"/>
    <w:rsid w:val="00C741DE"/>
    <w:rsid w:val="00CA0758"/>
    <w:rsid w:val="00EC67D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741D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A075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A0758"/>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38</TotalTime>
  <Pages>3</Pages>
  <Words>544</Words>
  <Characters>3103</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5</cp:revision>
  <cp:lastPrinted>2019-11-21T11:50:00Z</cp:lastPrinted>
  <dcterms:created xsi:type="dcterms:W3CDTF">2019-08-15T19:30:00Z</dcterms:created>
  <dcterms:modified xsi:type="dcterms:W3CDTF">2019-11-21T14:05:00Z</dcterms:modified>
</cp:coreProperties>
</file>